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46D2" w14:textId="75692BD2" w:rsidR="00A75170" w:rsidRDefault="00627410">
      <w:pPr>
        <w:rPr>
          <w:rtl/>
        </w:rPr>
      </w:pPr>
      <w:r>
        <w:rPr>
          <w:noProof/>
        </w:rPr>
        <w:drawing>
          <wp:inline distT="0" distB="0" distL="0" distR="0" wp14:anchorId="2353901D" wp14:editId="32F4D3AC">
            <wp:extent cx="5943600" cy="519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680E9" w14:textId="77777777" w:rsidR="00627410" w:rsidRPr="00627410" w:rsidRDefault="00627410" w:rsidP="00627410">
      <w:pPr>
        <w:shd w:val="clear" w:color="auto" w:fill="FFFFFF"/>
        <w:bidi/>
        <w:spacing w:after="225" w:line="240" w:lineRule="auto"/>
        <w:outlineLvl w:val="2"/>
        <w:rPr>
          <w:rFonts w:ascii="HelveticaNNA" w:eastAsia="Times New Roman" w:hAnsi="HelveticaNNA" w:cs="Times New Roman"/>
          <w:b/>
          <w:bCs/>
          <w:caps/>
          <w:color w:val="000000"/>
          <w:sz w:val="28"/>
          <w:szCs w:val="28"/>
        </w:rPr>
      </w:pPr>
      <w:r w:rsidRPr="00627410">
        <w:rPr>
          <w:rFonts w:ascii="HelveticaNNA" w:eastAsia="Times New Roman" w:hAnsi="HelveticaNNA" w:cs="Times New Roman"/>
          <w:b/>
          <w:bCs/>
          <w:caps/>
          <w:color w:val="000000"/>
          <w:sz w:val="28"/>
          <w:szCs w:val="28"/>
          <w:rtl/>
        </w:rPr>
        <w:t>سليم الأسطا رئيسا للهيئة الوطنية للمخفيين قسرا</w:t>
      </w:r>
    </w:p>
    <w:p w14:paraId="65BC23AA" w14:textId="763E44A8" w:rsidR="00627410" w:rsidRPr="00627410" w:rsidRDefault="00627410" w:rsidP="00627410">
      <w:pPr>
        <w:shd w:val="clear" w:color="auto" w:fill="FFFFFF"/>
        <w:bidi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hyperlink r:id="rId5" w:history="1">
        <w:r w:rsidRPr="00627410">
          <w:rPr>
            <w:rFonts w:asciiTheme="majorBidi" w:eastAsia="Times New Roman" w:hAnsiTheme="majorBidi" w:cstheme="majorBidi"/>
            <w:color w:val="AB1F1C"/>
            <w:sz w:val="24"/>
            <w:szCs w:val="24"/>
            <w:u w:val="single"/>
          </w:rPr>
          <w:t> </w:t>
        </w:r>
        <w:r w:rsidRPr="00627410">
          <w:rPr>
            <w:rFonts w:asciiTheme="majorBidi" w:eastAsia="Times New Roman" w:hAnsiTheme="majorBidi" w:cstheme="majorBidi"/>
            <w:color w:val="AB1F1C"/>
            <w:sz w:val="24"/>
            <w:szCs w:val="24"/>
            <w:u w:val="single"/>
            <w:rtl/>
          </w:rPr>
          <w:t>الأربعاء 30 حزيران 2021 الساعة 06:01</w:t>
        </w:r>
      </w:hyperlink>
    </w:p>
    <w:p w14:paraId="4DDCC732" w14:textId="231A12E3" w:rsidR="00627410" w:rsidRPr="00627410" w:rsidRDefault="00627410" w:rsidP="00627410">
      <w:pPr>
        <w:shd w:val="clear" w:color="auto" w:fill="FFFFFF"/>
        <w:bidi/>
        <w:spacing w:after="15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274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وطنية - أعلنت الهيئة الوطنية للمفقودين والمخفيين قسرا في بيان، أنه "في 9/6/2021، وسندا إلى المادة 14 من قانون المفقودين والمخفيين قسرا (105/2018)، تم انتخاب مكتب الهيئة، وفقا لما يلي: القاضي سليم الأسطا رئيسا، الدكتور زياد عاشور نائبا للرئيس، الدكتورة كارمن أبو جودة أمينة للسر، والدكتورة جويس نصار أمينة للصندوق</w:t>
      </w:r>
      <w:r w:rsidRPr="006274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".</w:t>
      </w:r>
      <w:r w:rsidRPr="0062741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2741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274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===== </w:t>
      </w:r>
      <w:r w:rsidRPr="0062741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ن.ح</w:t>
      </w:r>
    </w:p>
    <w:p w14:paraId="5EC31C49" w14:textId="77777777" w:rsidR="00627410" w:rsidRDefault="00627410"/>
    <w:sectPr w:rsidR="0062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N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10"/>
    <w:rsid w:val="00627410"/>
    <w:rsid w:val="00A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1A17"/>
  <w15:chartTrackingRefBased/>
  <w15:docId w15:val="{6D030027-1273-4537-8249-14A5C57C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7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74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27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2024-05-27T09:48:00Z</dcterms:created>
  <dcterms:modified xsi:type="dcterms:W3CDTF">2024-05-27T09:50:00Z</dcterms:modified>
</cp:coreProperties>
</file>